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21B3" w14:textId="6D6B8452" w:rsidR="00546242" w:rsidRDefault="00546242" w:rsidP="00546242">
      <w:pPr>
        <w:pStyle w:val="Default"/>
        <w:jc w:val="center"/>
        <w:rPr>
          <w:sz w:val="22"/>
          <w:szCs w:val="22"/>
        </w:rPr>
      </w:pPr>
      <w:r w:rsidRPr="12A55BF2">
        <w:rPr>
          <w:b/>
          <w:bCs/>
          <w:sz w:val="22"/>
          <w:szCs w:val="22"/>
        </w:rPr>
        <w:t>02-477</w:t>
      </w:r>
    </w:p>
    <w:p w14:paraId="41B390D5" w14:textId="2BBF420C" w:rsidR="42A7F1C4" w:rsidRDefault="42A7F1C4" w:rsidP="12A55BF2">
      <w:pPr>
        <w:spacing w:after="0"/>
        <w:jc w:val="center"/>
      </w:pPr>
      <w:r w:rsidRPr="12A55BF2">
        <w:rPr>
          <w:rFonts w:ascii="Bookman Old Style" w:eastAsia="Bookman Old Style" w:hAnsi="Bookman Old Style" w:cs="Bookman Old Style"/>
        </w:rPr>
        <w:t>Office of Professional and Occupational Regulation</w:t>
      </w:r>
    </w:p>
    <w:p w14:paraId="4BDC9E41" w14:textId="50C02A5C" w:rsidR="00546242" w:rsidRDefault="00546242" w:rsidP="00546242">
      <w:pPr>
        <w:pStyle w:val="Default"/>
        <w:jc w:val="center"/>
        <w:rPr>
          <w:sz w:val="22"/>
          <w:szCs w:val="22"/>
        </w:rPr>
      </w:pPr>
      <w:r>
        <w:rPr>
          <w:b/>
          <w:bCs/>
          <w:sz w:val="22"/>
          <w:szCs w:val="22"/>
        </w:rPr>
        <w:t>BOARD OF OCCUPATIONAL THERAPY PRACTICE</w:t>
      </w:r>
    </w:p>
    <w:p w14:paraId="69AFEF5D" w14:textId="2EE8259C" w:rsidR="00546242" w:rsidRDefault="00546242" w:rsidP="00546242">
      <w:pPr>
        <w:pStyle w:val="Default"/>
        <w:jc w:val="center"/>
        <w:rPr>
          <w:sz w:val="22"/>
          <w:szCs w:val="22"/>
        </w:rPr>
      </w:pPr>
      <w:r w:rsidRPr="12A55BF2">
        <w:rPr>
          <w:sz w:val="22"/>
          <w:szCs w:val="22"/>
        </w:rPr>
        <w:t>202</w:t>
      </w:r>
      <w:r w:rsidR="715E5CDA" w:rsidRPr="12A55BF2">
        <w:rPr>
          <w:sz w:val="22"/>
          <w:szCs w:val="22"/>
        </w:rPr>
        <w:t>5</w:t>
      </w:r>
      <w:r w:rsidRPr="12A55BF2">
        <w:rPr>
          <w:sz w:val="22"/>
          <w:szCs w:val="22"/>
        </w:rPr>
        <w:t>-202</w:t>
      </w:r>
      <w:r w:rsidR="098515C2" w:rsidRPr="12A55BF2">
        <w:rPr>
          <w:sz w:val="22"/>
          <w:szCs w:val="22"/>
        </w:rPr>
        <w:t>6</w:t>
      </w:r>
      <w:r w:rsidRPr="12A55BF2">
        <w:rPr>
          <w:sz w:val="22"/>
          <w:szCs w:val="22"/>
        </w:rPr>
        <w:t xml:space="preserve"> Regulatory Agenda</w:t>
      </w:r>
    </w:p>
    <w:p w14:paraId="28E33654" w14:textId="77777777" w:rsidR="00546242" w:rsidRDefault="00546242" w:rsidP="00546242">
      <w:pPr>
        <w:pStyle w:val="Default"/>
        <w:rPr>
          <w:sz w:val="22"/>
          <w:szCs w:val="22"/>
        </w:rPr>
      </w:pPr>
    </w:p>
    <w:p w14:paraId="1D7EB521" w14:textId="04FE3FD3" w:rsidR="00546242" w:rsidRDefault="00546242" w:rsidP="00546242">
      <w:pPr>
        <w:pStyle w:val="Default"/>
        <w:rPr>
          <w:sz w:val="22"/>
          <w:szCs w:val="22"/>
        </w:rPr>
      </w:pPr>
      <w:r>
        <w:rPr>
          <w:sz w:val="22"/>
          <w:szCs w:val="22"/>
        </w:rPr>
        <w:t xml:space="preserve">AGENCY UMBRELLA-UNIT NUMBER: </w:t>
      </w:r>
      <w:r>
        <w:rPr>
          <w:b/>
          <w:bCs/>
          <w:sz w:val="22"/>
          <w:szCs w:val="22"/>
        </w:rPr>
        <w:t xml:space="preserve">02-477 </w:t>
      </w:r>
    </w:p>
    <w:p w14:paraId="20F76D82" w14:textId="77777777" w:rsidR="00546242" w:rsidRDefault="00546242" w:rsidP="00546242">
      <w:pPr>
        <w:pStyle w:val="Default"/>
        <w:rPr>
          <w:sz w:val="22"/>
          <w:szCs w:val="22"/>
        </w:rPr>
      </w:pPr>
      <w:r>
        <w:rPr>
          <w:sz w:val="22"/>
          <w:szCs w:val="22"/>
        </w:rPr>
        <w:t xml:space="preserve">AGENCY NAME: Department of Professional and Financial Regulation, Office of Professional &amp; Occupational Regulation, </w:t>
      </w:r>
      <w:r>
        <w:rPr>
          <w:b/>
          <w:bCs/>
          <w:sz w:val="22"/>
          <w:szCs w:val="22"/>
        </w:rPr>
        <w:t xml:space="preserve">Board of Occupational Therapy Practice </w:t>
      </w:r>
    </w:p>
    <w:p w14:paraId="718744E9" w14:textId="77777777" w:rsidR="00546242" w:rsidRDefault="00546242" w:rsidP="00546242">
      <w:pPr>
        <w:pStyle w:val="Default"/>
        <w:rPr>
          <w:b/>
          <w:bCs/>
          <w:sz w:val="22"/>
          <w:szCs w:val="22"/>
        </w:rPr>
      </w:pPr>
    </w:p>
    <w:p w14:paraId="640C0E75" w14:textId="4C6112E8" w:rsidR="276D6C7E" w:rsidRDefault="276D6C7E" w:rsidP="0EFA7457">
      <w:pPr>
        <w:spacing w:after="0"/>
      </w:pPr>
      <w:r w:rsidRPr="0EFA7457">
        <w:rPr>
          <w:rFonts w:ascii="Bookman Old Style" w:eastAsia="Bookman Old Style" w:hAnsi="Bookman Old Style" w:cs="Bookman Old Style"/>
        </w:rPr>
        <w:t xml:space="preserve">CONTACT INFORMATION </w:t>
      </w:r>
      <w:r w:rsidRPr="0EFA7457">
        <w:rPr>
          <w:rFonts w:ascii="Bookman Old Style" w:eastAsia="Bookman Old Style" w:hAnsi="Bookman Old Style" w:cs="Bookman Old Style"/>
          <w:caps/>
        </w:rPr>
        <w:t xml:space="preserve">for thE agency </w:t>
      </w:r>
      <w:r w:rsidRPr="0EFA7457">
        <w:rPr>
          <w:rFonts w:ascii="Bookman Old Style" w:eastAsia="Bookman Old Style" w:hAnsi="Bookman Old Style" w:cs="Bookman Old Style"/>
          <w:b/>
          <w:bCs/>
          <w:caps/>
        </w:rPr>
        <w:t>RULEMAKING LIAISON</w:t>
      </w:r>
      <w:r w:rsidRPr="0EFA7457">
        <w:rPr>
          <w:rFonts w:ascii="Bookman Old Style" w:eastAsia="Bookman Old Style" w:hAnsi="Bookman Old Style" w:cs="Bookman Old Style"/>
        </w:rPr>
        <w:t xml:space="preserve">: Penny Vaillancourt, Director, OPOR, 35 State House Station, Augusta, ME 04333, 207-441-7153, </w:t>
      </w:r>
      <w:hyperlink r:id="rId8">
        <w:r w:rsidRPr="0EFA7457">
          <w:rPr>
            <w:rStyle w:val="Hyperlink"/>
            <w:rFonts w:ascii="Bookman Old Style" w:eastAsia="Bookman Old Style" w:hAnsi="Bookman Old Style" w:cs="Bookman Old Style"/>
            <w:color w:val="0000FF"/>
          </w:rPr>
          <w:t>penny.vaillancourt@maine.gov</w:t>
        </w:r>
      </w:hyperlink>
    </w:p>
    <w:p w14:paraId="0648C82F" w14:textId="77777777" w:rsidR="0009119C" w:rsidRDefault="0009119C" w:rsidP="00546242">
      <w:pPr>
        <w:pStyle w:val="Default"/>
        <w:rPr>
          <w:b/>
          <w:bCs/>
          <w:sz w:val="22"/>
          <w:szCs w:val="22"/>
        </w:rPr>
      </w:pPr>
    </w:p>
    <w:p w14:paraId="225DBD08" w14:textId="4B216241" w:rsidR="00546242" w:rsidRDefault="00546242" w:rsidP="00546242">
      <w:pPr>
        <w:pStyle w:val="Default"/>
        <w:rPr>
          <w:sz w:val="22"/>
          <w:szCs w:val="22"/>
        </w:rPr>
      </w:pPr>
      <w:r>
        <w:rPr>
          <w:b/>
          <w:bCs/>
          <w:sz w:val="22"/>
          <w:szCs w:val="22"/>
        </w:rPr>
        <w:t xml:space="preserve">EMERGENCY RULES ADOPTED SINCE THE LAST REGULATORY AGENDA: </w:t>
      </w:r>
      <w:r>
        <w:rPr>
          <w:sz w:val="22"/>
          <w:szCs w:val="22"/>
        </w:rPr>
        <w:t xml:space="preserve">None. </w:t>
      </w:r>
    </w:p>
    <w:p w14:paraId="2377EF3B" w14:textId="77777777" w:rsidR="00546242" w:rsidRDefault="00546242" w:rsidP="00546242">
      <w:pPr>
        <w:pStyle w:val="Default"/>
        <w:rPr>
          <w:b/>
          <w:bCs/>
          <w:sz w:val="22"/>
          <w:szCs w:val="22"/>
        </w:rPr>
      </w:pPr>
    </w:p>
    <w:p w14:paraId="2CAF8940" w14:textId="77777777" w:rsidR="00925044" w:rsidRDefault="00546242" w:rsidP="00546242">
      <w:pPr>
        <w:pStyle w:val="Default"/>
        <w:rPr>
          <w:b/>
          <w:bCs/>
          <w:sz w:val="22"/>
          <w:szCs w:val="22"/>
        </w:rPr>
      </w:pPr>
      <w:r w:rsidRPr="437D7019">
        <w:rPr>
          <w:b/>
          <w:bCs/>
          <w:sz w:val="22"/>
          <w:szCs w:val="22"/>
        </w:rPr>
        <w:t>EXPECTED 202</w:t>
      </w:r>
      <w:r w:rsidR="17968284" w:rsidRPr="437D7019">
        <w:rPr>
          <w:b/>
          <w:bCs/>
          <w:sz w:val="22"/>
          <w:szCs w:val="22"/>
        </w:rPr>
        <w:t>5</w:t>
      </w:r>
      <w:r w:rsidRPr="437D7019">
        <w:rPr>
          <w:b/>
          <w:bCs/>
          <w:sz w:val="22"/>
          <w:szCs w:val="22"/>
        </w:rPr>
        <w:t>-202</w:t>
      </w:r>
      <w:r w:rsidR="265ECEDB" w:rsidRPr="437D7019">
        <w:rPr>
          <w:b/>
          <w:bCs/>
          <w:sz w:val="22"/>
          <w:szCs w:val="22"/>
        </w:rPr>
        <w:t>6</w:t>
      </w:r>
      <w:r w:rsidRPr="437D7019">
        <w:rPr>
          <w:b/>
          <w:bCs/>
          <w:sz w:val="22"/>
          <w:szCs w:val="22"/>
        </w:rPr>
        <w:t xml:space="preserve"> RULEMAKING ACTIVITY: </w:t>
      </w:r>
    </w:p>
    <w:p w14:paraId="27435816" w14:textId="77777777" w:rsidR="00925044" w:rsidRDefault="00925044" w:rsidP="00546242">
      <w:pPr>
        <w:pStyle w:val="Default"/>
        <w:rPr>
          <w:b/>
          <w:bCs/>
          <w:sz w:val="22"/>
          <w:szCs w:val="22"/>
        </w:rPr>
      </w:pPr>
    </w:p>
    <w:p w14:paraId="7FA53FED" w14:textId="77777777" w:rsidR="00925044" w:rsidRPr="00925044" w:rsidRDefault="00925044" w:rsidP="00925044">
      <w:pPr>
        <w:pStyle w:val="Default"/>
      </w:pPr>
      <w:bookmarkStart w:id="0" w:name="_Hlk202021082"/>
      <w:bookmarkStart w:id="1" w:name="_Hlk202024055"/>
      <w:bookmarkStart w:id="2" w:name="_Hlk202024985"/>
      <w:r w:rsidRPr="00925044">
        <w:t xml:space="preserve">Expected rulemaking will be to implement legislation governing </w:t>
      </w:r>
      <w:bookmarkStart w:id="3" w:name="_Hlk202019823"/>
      <w:r w:rsidRPr="00925044">
        <w:t>licensure by endorsement and provisional licensure</w:t>
      </w:r>
      <w:bookmarkEnd w:id="3"/>
      <w:r w:rsidRPr="00925044">
        <w:t xml:space="preserve"> and telehealth services</w:t>
      </w:r>
      <w:bookmarkEnd w:id="2"/>
      <w:r w:rsidRPr="00925044">
        <w:t>.</w:t>
      </w:r>
      <w:bookmarkStart w:id="4" w:name="_Hlk202020040"/>
      <w:r w:rsidRPr="00925044">
        <w:t xml:space="preserve"> A review for conformance with statutes and current rules will be conducted and updated as may be necessary</w:t>
      </w:r>
      <w:bookmarkEnd w:id="1"/>
      <w:bookmarkEnd w:id="4"/>
      <w:r w:rsidRPr="00925044">
        <w:t>, including an update to discontinue the use of the terms “handicap,” “handicapped” and “hearing impaired” pursuant to 36 M.R.S. § 2557, sub-§2.</w:t>
      </w:r>
    </w:p>
    <w:bookmarkEnd w:id="0"/>
    <w:p w14:paraId="0EDD27EB" w14:textId="77777777" w:rsidR="00546242" w:rsidRDefault="00546242" w:rsidP="00546242">
      <w:pPr>
        <w:pStyle w:val="Default"/>
        <w:rPr>
          <w:b/>
          <w:bCs/>
          <w:sz w:val="22"/>
          <w:szCs w:val="22"/>
        </w:rPr>
      </w:pPr>
    </w:p>
    <w:p w14:paraId="35F7EB89" w14:textId="34CBF0AF" w:rsidR="00546242" w:rsidRPr="00710B69" w:rsidRDefault="00546242" w:rsidP="00546242">
      <w:pPr>
        <w:pStyle w:val="Default"/>
        <w:rPr>
          <w:b/>
          <w:bCs/>
          <w:sz w:val="22"/>
          <w:szCs w:val="22"/>
        </w:rPr>
      </w:pPr>
      <w:r>
        <w:rPr>
          <w:b/>
          <w:bCs/>
          <w:sz w:val="22"/>
          <w:szCs w:val="22"/>
        </w:rPr>
        <w:t xml:space="preserve">CHAPTER 2: </w:t>
      </w:r>
      <w:r w:rsidRPr="00710B69">
        <w:rPr>
          <w:b/>
          <w:bCs/>
          <w:sz w:val="22"/>
          <w:szCs w:val="22"/>
        </w:rPr>
        <w:t xml:space="preserve">Advisory Rulings </w:t>
      </w:r>
    </w:p>
    <w:p w14:paraId="0313C662" w14:textId="1EC74CFA" w:rsidR="00546242" w:rsidRDefault="00546242" w:rsidP="00546242">
      <w:pPr>
        <w:pStyle w:val="Default"/>
        <w:rPr>
          <w:sz w:val="22"/>
          <w:szCs w:val="22"/>
        </w:rPr>
      </w:pPr>
      <w:r>
        <w:rPr>
          <w:sz w:val="22"/>
          <w:szCs w:val="22"/>
        </w:rPr>
        <w:t xml:space="preserve">STATUTORY AUTHORITY: </w:t>
      </w:r>
      <w:r w:rsidR="00200E9D">
        <w:rPr>
          <w:sz w:val="22"/>
          <w:szCs w:val="22"/>
        </w:rPr>
        <w:t>5 M.R.S. §§ 8051, 9001(4)</w:t>
      </w:r>
      <w:r>
        <w:rPr>
          <w:sz w:val="22"/>
          <w:szCs w:val="22"/>
        </w:rPr>
        <w:t xml:space="preserve"> </w:t>
      </w:r>
    </w:p>
    <w:p w14:paraId="75FB6C2A" w14:textId="77777777" w:rsidR="00710B69" w:rsidRDefault="00546242" w:rsidP="00546242">
      <w:pPr>
        <w:pStyle w:val="Default"/>
        <w:rPr>
          <w:sz w:val="22"/>
          <w:szCs w:val="22"/>
        </w:rPr>
      </w:pPr>
      <w:r>
        <w:rPr>
          <w:sz w:val="22"/>
          <w:szCs w:val="22"/>
        </w:rPr>
        <w:t xml:space="preserve">PURPOSE: The board may revise its rules regarding the discretionary issuance of advisory rulings by the Board. </w:t>
      </w:r>
    </w:p>
    <w:p w14:paraId="28AE53DA" w14:textId="7B3D33DC" w:rsidR="00546242" w:rsidRDefault="00546242" w:rsidP="00546242">
      <w:pPr>
        <w:pStyle w:val="Default"/>
        <w:rPr>
          <w:sz w:val="22"/>
          <w:szCs w:val="22"/>
        </w:rPr>
      </w:pPr>
      <w:r>
        <w:rPr>
          <w:sz w:val="22"/>
          <w:szCs w:val="22"/>
        </w:rPr>
        <w:t xml:space="preserve">SCHEDULE FOR ADOPTION: Within one year, if necessary. </w:t>
      </w:r>
    </w:p>
    <w:p w14:paraId="42D39928" w14:textId="534B7F89" w:rsidR="00546242" w:rsidRDefault="00546242" w:rsidP="00546242">
      <w:pPr>
        <w:pStyle w:val="Default"/>
        <w:rPr>
          <w:sz w:val="22"/>
          <w:szCs w:val="22"/>
        </w:rPr>
      </w:pPr>
      <w:r w:rsidRPr="451F2F6E">
        <w:rPr>
          <w:sz w:val="22"/>
          <w:szCs w:val="22"/>
        </w:rPr>
        <w:t xml:space="preserve">AFFECTED PARTIES: Licensees and </w:t>
      </w:r>
      <w:r w:rsidR="0CA90AC7" w:rsidRPr="451F2F6E">
        <w:rPr>
          <w:sz w:val="22"/>
          <w:szCs w:val="22"/>
        </w:rPr>
        <w:t>the public</w:t>
      </w:r>
      <w:r w:rsidRPr="451F2F6E">
        <w:rPr>
          <w:sz w:val="22"/>
          <w:szCs w:val="22"/>
        </w:rPr>
        <w:t xml:space="preserve">. </w:t>
      </w:r>
    </w:p>
    <w:p w14:paraId="4AA75E89" w14:textId="34FB3E86" w:rsidR="00546242" w:rsidRDefault="00546242" w:rsidP="00546242">
      <w:pPr>
        <w:pStyle w:val="Default"/>
        <w:rPr>
          <w:sz w:val="22"/>
          <w:szCs w:val="22"/>
        </w:rPr>
      </w:pPr>
      <w:r>
        <w:rPr>
          <w:sz w:val="22"/>
          <w:szCs w:val="22"/>
        </w:rPr>
        <w:t xml:space="preserve">CONSENSUS-BASED RULE DEVELOPMENT: </w:t>
      </w:r>
      <w:r w:rsidR="00EC7EB6">
        <w:rPr>
          <w:sz w:val="22"/>
          <w:szCs w:val="22"/>
        </w:rPr>
        <w:t>N/A</w:t>
      </w:r>
      <w:r>
        <w:rPr>
          <w:sz w:val="22"/>
          <w:szCs w:val="22"/>
        </w:rPr>
        <w:t xml:space="preserve"> </w:t>
      </w:r>
    </w:p>
    <w:p w14:paraId="259A65C3" w14:textId="791EB240" w:rsidR="00304275" w:rsidRDefault="00304275" w:rsidP="00546242">
      <w:pPr>
        <w:pStyle w:val="Default"/>
        <w:rPr>
          <w:sz w:val="22"/>
          <w:szCs w:val="22"/>
        </w:rPr>
      </w:pPr>
    </w:p>
    <w:p w14:paraId="29A93697" w14:textId="776E257C" w:rsidR="00304275" w:rsidRDefault="00304275" w:rsidP="00546242">
      <w:pPr>
        <w:pStyle w:val="Default"/>
        <w:rPr>
          <w:b/>
          <w:bCs/>
          <w:sz w:val="22"/>
          <w:szCs w:val="22"/>
        </w:rPr>
      </w:pPr>
      <w:r>
        <w:rPr>
          <w:b/>
          <w:bCs/>
          <w:sz w:val="22"/>
          <w:szCs w:val="22"/>
        </w:rPr>
        <w:t>CHAPTER 3</w:t>
      </w:r>
      <w:r w:rsidR="005F6B2E">
        <w:rPr>
          <w:b/>
          <w:bCs/>
          <w:sz w:val="22"/>
          <w:szCs w:val="22"/>
        </w:rPr>
        <w:t xml:space="preserve">: </w:t>
      </w:r>
      <w:r w:rsidR="004C4300">
        <w:rPr>
          <w:b/>
          <w:bCs/>
          <w:sz w:val="22"/>
          <w:szCs w:val="22"/>
        </w:rPr>
        <w:t>L</w:t>
      </w:r>
      <w:r w:rsidR="00D71671">
        <w:rPr>
          <w:b/>
          <w:bCs/>
          <w:sz w:val="22"/>
          <w:szCs w:val="22"/>
        </w:rPr>
        <w:t xml:space="preserve">icensure by Endorsement </w:t>
      </w:r>
    </w:p>
    <w:p w14:paraId="51A60A71" w14:textId="63B2C86A" w:rsidR="00BB54FF" w:rsidRDefault="00BB54FF" w:rsidP="00546242">
      <w:pPr>
        <w:pStyle w:val="Default"/>
        <w:rPr>
          <w:sz w:val="22"/>
          <w:szCs w:val="22"/>
        </w:rPr>
      </w:pPr>
      <w:r w:rsidRPr="451F2F6E">
        <w:rPr>
          <w:sz w:val="22"/>
          <w:szCs w:val="22"/>
        </w:rPr>
        <w:t xml:space="preserve">STATUTORY AUTHORITY: </w:t>
      </w:r>
      <w:r w:rsidR="00F47850" w:rsidRPr="451F2F6E">
        <w:rPr>
          <w:sz w:val="22"/>
          <w:szCs w:val="22"/>
        </w:rPr>
        <w:t xml:space="preserve"> </w:t>
      </w:r>
      <w:r w:rsidR="00337964" w:rsidRPr="451F2F6E">
        <w:rPr>
          <w:sz w:val="22"/>
          <w:szCs w:val="22"/>
        </w:rPr>
        <w:t>10 M.R.S. §</w:t>
      </w:r>
      <w:r w:rsidR="00A40C81">
        <w:rPr>
          <w:sz w:val="22"/>
          <w:szCs w:val="22"/>
        </w:rPr>
        <w:t xml:space="preserve"> </w:t>
      </w:r>
      <w:r w:rsidR="00337964" w:rsidRPr="451F2F6E">
        <w:rPr>
          <w:sz w:val="22"/>
          <w:szCs w:val="22"/>
        </w:rPr>
        <w:t>8003</w:t>
      </w:r>
      <w:r w:rsidR="00333331" w:rsidRPr="451F2F6E">
        <w:rPr>
          <w:sz w:val="22"/>
          <w:szCs w:val="22"/>
        </w:rPr>
        <w:t>-H</w:t>
      </w:r>
      <w:r w:rsidR="3F7C7FBF" w:rsidRPr="451F2F6E">
        <w:rPr>
          <w:sz w:val="22"/>
          <w:szCs w:val="22"/>
        </w:rPr>
        <w:t xml:space="preserve">; 32 M.R.S. </w:t>
      </w:r>
      <w:r w:rsidR="00A40C81">
        <w:rPr>
          <w:sz w:val="22"/>
          <w:szCs w:val="22"/>
        </w:rPr>
        <w:t xml:space="preserve">§ </w:t>
      </w:r>
      <w:r w:rsidR="3F7C7FBF" w:rsidRPr="451F2F6E">
        <w:rPr>
          <w:sz w:val="22"/>
          <w:szCs w:val="22"/>
        </w:rPr>
        <w:t>2279(6)</w:t>
      </w:r>
    </w:p>
    <w:p w14:paraId="5116C3A8" w14:textId="17300B60" w:rsidR="00825C54" w:rsidRDefault="00594243" w:rsidP="00546242">
      <w:pPr>
        <w:pStyle w:val="Default"/>
        <w:rPr>
          <w:sz w:val="22"/>
          <w:szCs w:val="22"/>
        </w:rPr>
      </w:pPr>
      <w:r w:rsidRPr="451F2F6E">
        <w:rPr>
          <w:sz w:val="22"/>
          <w:szCs w:val="22"/>
        </w:rPr>
        <w:t>PURPOSE: Provides the pathway for Maine Licensure for applicants with an active license</w:t>
      </w:r>
      <w:r w:rsidR="00EB252D" w:rsidRPr="451F2F6E">
        <w:rPr>
          <w:sz w:val="22"/>
          <w:szCs w:val="22"/>
        </w:rPr>
        <w:t xml:space="preserve"> in a U.S. jurisdiction that maintains licensing requirements that are substantially eq</w:t>
      </w:r>
      <w:r w:rsidR="00733E9B" w:rsidRPr="451F2F6E">
        <w:rPr>
          <w:sz w:val="22"/>
          <w:szCs w:val="22"/>
        </w:rPr>
        <w:t>uivalent to Maine’s requirements for the licensed profession or occupatio</w:t>
      </w:r>
      <w:r w:rsidR="00F42D13" w:rsidRPr="451F2F6E">
        <w:rPr>
          <w:sz w:val="22"/>
          <w:szCs w:val="22"/>
        </w:rPr>
        <w:t>n.</w:t>
      </w:r>
    </w:p>
    <w:p w14:paraId="3C114167" w14:textId="7F7FC5C3" w:rsidR="00F42D13" w:rsidRDefault="00F42D13" w:rsidP="00546242">
      <w:pPr>
        <w:pStyle w:val="Default"/>
        <w:rPr>
          <w:sz w:val="22"/>
          <w:szCs w:val="22"/>
        </w:rPr>
      </w:pPr>
      <w:r w:rsidRPr="451F2F6E">
        <w:rPr>
          <w:sz w:val="22"/>
          <w:szCs w:val="22"/>
        </w:rPr>
        <w:t>SCHEDULE</w:t>
      </w:r>
      <w:r w:rsidR="00112256" w:rsidRPr="451F2F6E">
        <w:rPr>
          <w:sz w:val="22"/>
          <w:szCs w:val="22"/>
        </w:rPr>
        <w:t xml:space="preserve"> FOR ADOPTION: Within one year</w:t>
      </w:r>
      <w:r w:rsidR="01D2396D" w:rsidRPr="451F2F6E">
        <w:rPr>
          <w:sz w:val="22"/>
          <w:szCs w:val="22"/>
        </w:rPr>
        <w:t>,</w:t>
      </w:r>
      <w:r w:rsidR="00112256" w:rsidRPr="451F2F6E">
        <w:rPr>
          <w:sz w:val="22"/>
          <w:szCs w:val="22"/>
        </w:rPr>
        <w:t xml:space="preserve"> if necessary. </w:t>
      </w:r>
    </w:p>
    <w:p w14:paraId="159C0A7C" w14:textId="7E9D7664" w:rsidR="00112256" w:rsidRDefault="00112256" w:rsidP="00546242">
      <w:pPr>
        <w:pStyle w:val="Default"/>
        <w:rPr>
          <w:sz w:val="22"/>
          <w:szCs w:val="22"/>
        </w:rPr>
      </w:pPr>
      <w:r w:rsidRPr="451F2F6E">
        <w:rPr>
          <w:sz w:val="22"/>
          <w:szCs w:val="22"/>
        </w:rPr>
        <w:t xml:space="preserve">AFFECTED PARTIES: </w:t>
      </w:r>
      <w:r w:rsidR="33BE248C" w:rsidRPr="451F2F6E">
        <w:rPr>
          <w:sz w:val="22"/>
          <w:szCs w:val="22"/>
        </w:rPr>
        <w:t xml:space="preserve">Applicants for </w:t>
      </w:r>
      <w:r w:rsidR="390215D7" w:rsidRPr="451F2F6E">
        <w:rPr>
          <w:sz w:val="22"/>
          <w:szCs w:val="22"/>
        </w:rPr>
        <w:t>licensure</w:t>
      </w:r>
      <w:r w:rsidR="33BE248C" w:rsidRPr="451F2F6E">
        <w:rPr>
          <w:sz w:val="22"/>
          <w:szCs w:val="22"/>
        </w:rPr>
        <w:t xml:space="preserve">. </w:t>
      </w:r>
      <w:r w:rsidRPr="451F2F6E">
        <w:rPr>
          <w:sz w:val="22"/>
          <w:szCs w:val="22"/>
        </w:rPr>
        <w:t xml:space="preserve"> </w:t>
      </w:r>
    </w:p>
    <w:p w14:paraId="1CFEB6C4" w14:textId="159BF6EF" w:rsidR="00F47850" w:rsidRPr="00BB54FF" w:rsidRDefault="00F47850" w:rsidP="00546242">
      <w:pPr>
        <w:pStyle w:val="Default"/>
        <w:rPr>
          <w:sz w:val="22"/>
          <w:szCs w:val="22"/>
        </w:rPr>
      </w:pPr>
      <w:r>
        <w:rPr>
          <w:sz w:val="22"/>
          <w:szCs w:val="22"/>
        </w:rPr>
        <w:t>CONSENSUS-BASED RULE DEVELOPMENT: N/A</w:t>
      </w:r>
    </w:p>
    <w:p w14:paraId="0AAFDBC1" w14:textId="77777777" w:rsidR="00546242" w:rsidRDefault="00546242" w:rsidP="00546242">
      <w:pPr>
        <w:pStyle w:val="Default"/>
        <w:rPr>
          <w:b/>
          <w:bCs/>
          <w:sz w:val="22"/>
          <w:szCs w:val="22"/>
        </w:rPr>
      </w:pPr>
    </w:p>
    <w:p w14:paraId="11E280CB" w14:textId="77777777" w:rsidR="00546242" w:rsidRDefault="00546242" w:rsidP="00546242">
      <w:pPr>
        <w:pStyle w:val="Default"/>
        <w:rPr>
          <w:sz w:val="22"/>
          <w:szCs w:val="22"/>
        </w:rPr>
      </w:pPr>
      <w:r>
        <w:rPr>
          <w:b/>
          <w:bCs/>
          <w:sz w:val="22"/>
          <w:szCs w:val="22"/>
        </w:rPr>
        <w:t xml:space="preserve">CHAPTER 3-A: </w:t>
      </w:r>
      <w:r w:rsidRPr="00710B69">
        <w:rPr>
          <w:b/>
          <w:bCs/>
          <w:sz w:val="22"/>
          <w:szCs w:val="22"/>
        </w:rPr>
        <w:t xml:space="preserve">Licensure as a Temporary Licensee, Occupational Therapist or Occupational Therapy Assistant </w:t>
      </w:r>
    </w:p>
    <w:p w14:paraId="3973A91D" w14:textId="1FBD5221" w:rsidR="00546242" w:rsidRDefault="00546242" w:rsidP="00546242">
      <w:pPr>
        <w:pStyle w:val="Default"/>
        <w:rPr>
          <w:sz w:val="22"/>
          <w:szCs w:val="22"/>
        </w:rPr>
      </w:pPr>
      <w:r>
        <w:rPr>
          <w:sz w:val="22"/>
          <w:szCs w:val="22"/>
        </w:rPr>
        <w:t xml:space="preserve">STATUTORY AUTHORITY: 32 M.R.S. §§ 2274(2), 2278, 2279, 2284 </w:t>
      </w:r>
    </w:p>
    <w:p w14:paraId="252B8E4F" w14:textId="77777777" w:rsidR="00546242" w:rsidRDefault="00546242" w:rsidP="00546242">
      <w:pPr>
        <w:pStyle w:val="Default"/>
        <w:rPr>
          <w:sz w:val="22"/>
          <w:szCs w:val="22"/>
        </w:rPr>
      </w:pPr>
      <w:r>
        <w:rPr>
          <w:sz w:val="22"/>
          <w:szCs w:val="22"/>
        </w:rPr>
        <w:t xml:space="preserve">PURPOSE: The board may review and revise the requirements and procedures governing the issuance of permanent and temporary licenses, and licenses granted via endorsement, for the practice of occupational therapy. </w:t>
      </w:r>
    </w:p>
    <w:p w14:paraId="12FF3F33" w14:textId="77777777" w:rsidR="00546242" w:rsidRDefault="00546242" w:rsidP="00546242">
      <w:pPr>
        <w:pStyle w:val="Default"/>
        <w:rPr>
          <w:sz w:val="22"/>
          <w:szCs w:val="22"/>
        </w:rPr>
      </w:pPr>
      <w:r>
        <w:rPr>
          <w:sz w:val="22"/>
          <w:szCs w:val="22"/>
        </w:rPr>
        <w:t xml:space="preserve">SCHEDULE FOR ADOPTION: Within one year, if necessary. </w:t>
      </w:r>
    </w:p>
    <w:p w14:paraId="65283A7A" w14:textId="15ABCF52" w:rsidR="00546242" w:rsidRDefault="00546242" w:rsidP="00546242">
      <w:pPr>
        <w:pStyle w:val="Default"/>
        <w:rPr>
          <w:sz w:val="22"/>
          <w:szCs w:val="22"/>
        </w:rPr>
      </w:pPr>
      <w:r>
        <w:rPr>
          <w:sz w:val="22"/>
          <w:szCs w:val="22"/>
        </w:rPr>
        <w:lastRenderedPageBreak/>
        <w:t xml:space="preserve">AFFECTED PARTIES: </w:t>
      </w:r>
      <w:r w:rsidR="006B356E">
        <w:rPr>
          <w:sz w:val="22"/>
          <w:szCs w:val="22"/>
        </w:rPr>
        <w:t>Applicants for licensure</w:t>
      </w:r>
      <w:r w:rsidR="00710B69">
        <w:rPr>
          <w:sz w:val="22"/>
          <w:szCs w:val="22"/>
        </w:rPr>
        <w:t xml:space="preserve">. </w:t>
      </w:r>
    </w:p>
    <w:p w14:paraId="3D349D68" w14:textId="5CA84062" w:rsidR="00B55A6B" w:rsidRPr="00546242" w:rsidRDefault="00546242" w:rsidP="00546242">
      <w:pPr>
        <w:rPr>
          <w:rFonts w:ascii="Bookman Old Style" w:hAnsi="Bookman Old Style"/>
        </w:rPr>
      </w:pPr>
      <w:r w:rsidRPr="437D7019">
        <w:rPr>
          <w:rFonts w:ascii="Bookman Old Style" w:hAnsi="Bookman Old Style"/>
        </w:rPr>
        <w:t xml:space="preserve">CONSENSUS-BASED RULE DEVELOPMENT: </w:t>
      </w:r>
      <w:r w:rsidR="00EC7EB6" w:rsidRPr="437D7019">
        <w:rPr>
          <w:rFonts w:ascii="Bookman Old Style" w:hAnsi="Bookman Old Style"/>
        </w:rPr>
        <w:t>N/A</w:t>
      </w:r>
    </w:p>
    <w:p w14:paraId="75237914" w14:textId="606F0FDB" w:rsidR="437D7019" w:rsidRDefault="437D7019" w:rsidP="437D7019">
      <w:pPr>
        <w:rPr>
          <w:rFonts w:ascii="Bookman Old Style" w:hAnsi="Bookman Old Style"/>
        </w:rPr>
      </w:pPr>
    </w:p>
    <w:p w14:paraId="5C9F0AF0" w14:textId="598CAB01" w:rsidR="00546242" w:rsidRDefault="00657EFD" w:rsidP="00546242">
      <w:pPr>
        <w:pStyle w:val="Default"/>
        <w:rPr>
          <w:b/>
          <w:bCs/>
          <w:sz w:val="22"/>
          <w:szCs w:val="22"/>
        </w:rPr>
      </w:pPr>
      <w:r>
        <w:rPr>
          <w:b/>
          <w:bCs/>
          <w:sz w:val="22"/>
          <w:szCs w:val="22"/>
        </w:rPr>
        <w:t xml:space="preserve">CHAPTER 4: </w:t>
      </w:r>
      <w:r w:rsidR="00EB452D">
        <w:rPr>
          <w:b/>
          <w:bCs/>
          <w:sz w:val="22"/>
          <w:szCs w:val="22"/>
        </w:rPr>
        <w:t xml:space="preserve">License </w:t>
      </w:r>
      <w:r w:rsidR="004D736A">
        <w:rPr>
          <w:b/>
          <w:bCs/>
          <w:sz w:val="22"/>
          <w:szCs w:val="22"/>
        </w:rPr>
        <w:t>Renewal</w:t>
      </w:r>
      <w:r w:rsidR="00131DD0">
        <w:rPr>
          <w:b/>
          <w:bCs/>
          <w:sz w:val="22"/>
          <w:szCs w:val="22"/>
        </w:rPr>
        <w:t xml:space="preserve"> and Continuing Education Requirements</w:t>
      </w:r>
      <w:r w:rsidR="002C2F71">
        <w:rPr>
          <w:b/>
          <w:bCs/>
          <w:sz w:val="22"/>
          <w:szCs w:val="22"/>
        </w:rPr>
        <w:t>;</w:t>
      </w:r>
      <w:r w:rsidR="00131DD0">
        <w:rPr>
          <w:b/>
          <w:bCs/>
          <w:sz w:val="22"/>
          <w:szCs w:val="22"/>
        </w:rPr>
        <w:t xml:space="preserve"> Reinstat</w:t>
      </w:r>
      <w:r w:rsidR="004B472F">
        <w:rPr>
          <w:b/>
          <w:bCs/>
          <w:sz w:val="22"/>
          <w:szCs w:val="22"/>
        </w:rPr>
        <w:t>e</w:t>
      </w:r>
      <w:r w:rsidR="00131DD0">
        <w:rPr>
          <w:b/>
          <w:bCs/>
          <w:sz w:val="22"/>
          <w:szCs w:val="22"/>
        </w:rPr>
        <w:t xml:space="preserve">ment </w:t>
      </w:r>
    </w:p>
    <w:p w14:paraId="75A753BA" w14:textId="5370E173" w:rsidR="004B472F" w:rsidRDefault="00135A17" w:rsidP="00546242">
      <w:pPr>
        <w:pStyle w:val="Default"/>
        <w:rPr>
          <w:sz w:val="22"/>
          <w:szCs w:val="22"/>
        </w:rPr>
      </w:pPr>
      <w:r>
        <w:rPr>
          <w:sz w:val="22"/>
          <w:szCs w:val="22"/>
        </w:rPr>
        <w:t xml:space="preserve">STATUTORY AURHORITY: </w:t>
      </w:r>
      <w:r w:rsidR="00697E75" w:rsidRPr="002A4A11">
        <w:t>32</w:t>
      </w:r>
      <w:r w:rsidR="00697E75" w:rsidRPr="002A4A11">
        <w:rPr>
          <w:spacing w:val="-3"/>
        </w:rPr>
        <w:t xml:space="preserve"> </w:t>
      </w:r>
      <w:r w:rsidR="00697E75" w:rsidRPr="002A4A11">
        <w:t>M.R.S.</w:t>
      </w:r>
      <w:r w:rsidR="00697E75" w:rsidRPr="002A4A11">
        <w:rPr>
          <w:spacing w:val="-6"/>
        </w:rPr>
        <w:t xml:space="preserve"> </w:t>
      </w:r>
      <w:r w:rsidR="00697E75" w:rsidRPr="002A4A11">
        <w:t>§§</w:t>
      </w:r>
      <w:r w:rsidR="00697E75" w:rsidRPr="002A4A11">
        <w:rPr>
          <w:spacing w:val="-3"/>
        </w:rPr>
        <w:t xml:space="preserve"> </w:t>
      </w:r>
      <w:r w:rsidR="00697E75" w:rsidRPr="002A4A11">
        <w:t>2274(2);</w:t>
      </w:r>
      <w:r w:rsidR="00697E75" w:rsidRPr="002A4A11">
        <w:rPr>
          <w:spacing w:val="-5"/>
        </w:rPr>
        <w:t xml:space="preserve"> </w:t>
      </w:r>
      <w:r w:rsidR="00697E75" w:rsidRPr="002A4A11">
        <w:t>2283(4);</w:t>
      </w:r>
      <w:r w:rsidR="00697E75" w:rsidRPr="002A4A11">
        <w:rPr>
          <w:spacing w:val="-5"/>
        </w:rPr>
        <w:t xml:space="preserve"> </w:t>
      </w:r>
      <w:r w:rsidR="00697E75" w:rsidRPr="002A4A11">
        <w:t>10</w:t>
      </w:r>
      <w:r w:rsidR="00697E75" w:rsidRPr="002A4A11">
        <w:rPr>
          <w:spacing w:val="-3"/>
        </w:rPr>
        <w:t xml:space="preserve"> </w:t>
      </w:r>
      <w:r w:rsidR="00697E75" w:rsidRPr="002A4A11">
        <w:t>M.R.S.</w:t>
      </w:r>
      <w:r w:rsidR="00697E75" w:rsidRPr="002A4A11">
        <w:rPr>
          <w:spacing w:val="-6"/>
        </w:rPr>
        <w:t xml:space="preserve"> </w:t>
      </w:r>
      <w:r w:rsidR="00697E75" w:rsidRPr="002A4A11">
        <w:t>§</w:t>
      </w:r>
      <w:r w:rsidR="00697E75" w:rsidRPr="002A4A11">
        <w:rPr>
          <w:spacing w:val="-3"/>
        </w:rPr>
        <w:t xml:space="preserve"> </w:t>
      </w:r>
      <w:r w:rsidR="00697E75" w:rsidRPr="002A4A11">
        <w:t>8003(5-A)(D)(5)</w:t>
      </w:r>
    </w:p>
    <w:p w14:paraId="70688178" w14:textId="01ADFF10" w:rsidR="00714FD3" w:rsidRDefault="004652E5" w:rsidP="437D7019">
      <w:pPr>
        <w:pStyle w:val="Default"/>
        <w:rPr>
          <w:sz w:val="22"/>
          <w:szCs w:val="22"/>
        </w:rPr>
      </w:pPr>
      <w:r w:rsidRPr="437D7019">
        <w:rPr>
          <w:sz w:val="22"/>
          <w:szCs w:val="22"/>
        </w:rPr>
        <w:t xml:space="preserve">PURPOSE: </w:t>
      </w:r>
      <w:r w:rsidR="1C4DED57" w:rsidRPr="437D7019">
        <w:rPr>
          <w:sz w:val="22"/>
          <w:szCs w:val="22"/>
        </w:rPr>
        <w:t xml:space="preserve">The board may review and revise the continuing education </w:t>
      </w:r>
      <w:proofErr w:type="spellStart"/>
      <w:r w:rsidR="773E71F1" w:rsidRPr="437D7019">
        <w:rPr>
          <w:sz w:val="22"/>
          <w:szCs w:val="22"/>
        </w:rPr>
        <w:t>education</w:t>
      </w:r>
      <w:proofErr w:type="spellEnd"/>
      <w:r w:rsidR="773E71F1" w:rsidRPr="437D7019">
        <w:rPr>
          <w:sz w:val="22"/>
          <w:szCs w:val="22"/>
        </w:rPr>
        <w:t xml:space="preserve"> requirements.</w:t>
      </w:r>
      <w:r w:rsidR="00B8490D" w:rsidRPr="437D7019">
        <w:rPr>
          <w:sz w:val="22"/>
          <w:szCs w:val="22"/>
        </w:rPr>
        <w:t xml:space="preserve"> </w:t>
      </w:r>
    </w:p>
    <w:p w14:paraId="0E872288" w14:textId="26FBE699" w:rsidR="00714FD3" w:rsidRDefault="00714FD3" w:rsidP="00546242">
      <w:pPr>
        <w:pStyle w:val="Default"/>
        <w:rPr>
          <w:sz w:val="22"/>
          <w:szCs w:val="22"/>
        </w:rPr>
      </w:pPr>
      <w:r w:rsidRPr="437D7019">
        <w:rPr>
          <w:sz w:val="22"/>
          <w:szCs w:val="22"/>
        </w:rPr>
        <w:t xml:space="preserve">SCHEDULE FOR ADOPTION: </w:t>
      </w:r>
      <w:r w:rsidR="437C4854" w:rsidRPr="437D7019">
        <w:rPr>
          <w:sz w:val="22"/>
          <w:szCs w:val="22"/>
        </w:rPr>
        <w:t>Within one year, if necessary.</w:t>
      </w:r>
    </w:p>
    <w:p w14:paraId="292F4988" w14:textId="4E612B99" w:rsidR="00714FD3" w:rsidRDefault="00714FD3" w:rsidP="00546242">
      <w:pPr>
        <w:pStyle w:val="Default"/>
        <w:rPr>
          <w:sz w:val="22"/>
          <w:szCs w:val="22"/>
        </w:rPr>
      </w:pPr>
      <w:r>
        <w:rPr>
          <w:sz w:val="22"/>
          <w:szCs w:val="22"/>
        </w:rPr>
        <w:t xml:space="preserve">AFFECTED PARTIES:  </w:t>
      </w:r>
      <w:r w:rsidR="00935466">
        <w:rPr>
          <w:sz w:val="22"/>
          <w:szCs w:val="22"/>
        </w:rPr>
        <w:t xml:space="preserve">Licensees. </w:t>
      </w:r>
    </w:p>
    <w:p w14:paraId="54AF2627" w14:textId="3C884133" w:rsidR="00935466" w:rsidRPr="004B472F" w:rsidRDefault="00935466" w:rsidP="00546242">
      <w:pPr>
        <w:pStyle w:val="Default"/>
        <w:rPr>
          <w:sz w:val="22"/>
          <w:szCs w:val="22"/>
        </w:rPr>
      </w:pPr>
      <w:r>
        <w:rPr>
          <w:sz w:val="22"/>
          <w:szCs w:val="22"/>
        </w:rPr>
        <w:t>CONSENSUS-BASED RULE DEVELOPMENT</w:t>
      </w:r>
      <w:r w:rsidR="008758C7">
        <w:rPr>
          <w:sz w:val="22"/>
          <w:szCs w:val="22"/>
        </w:rPr>
        <w:t>: N/A</w:t>
      </w:r>
    </w:p>
    <w:p w14:paraId="7697F4F5" w14:textId="77777777" w:rsidR="00657EFD" w:rsidRDefault="00657EFD" w:rsidP="00546242">
      <w:pPr>
        <w:pStyle w:val="Default"/>
        <w:rPr>
          <w:b/>
          <w:bCs/>
          <w:sz w:val="22"/>
          <w:szCs w:val="22"/>
        </w:rPr>
      </w:pPr>
    </w:p>
    <w:p w14:paraId="77BD2863" w14:textId="02439AD8" w:rsidR="00546242" w:rsidRDefault="00546242" w:rsidP="00546242">
      <w:pPr>
        <w:pStyle w:val="Default"/>
        <w:rPr>
          <w:sz w:val="22"/>
          <w:szCs w:val="22"/>
        </w:rPr>
      </w:pPr>
      <w:r>
        <w:rPr>
          <w:b/>
          <w:bCs/>
          <w:sz w:val="22"/>
          <w:szCs w:val="22"/>
        </w:rPr>
        <w:t xml:space="preserve">CHAPTER 5: </w:t>
      </w:r>
      <w:r w:rsidRPr="006B356E">
        <w:rPr>
          <w:b/>
          <w:bCs/>
          <w:sz w:val="22"/>
          <w:szCs w:val="22"/>
        </w:rPr>
        <w:t>Role of the Occupational Therapy Assistant; Supervision of Occupational Therapy Assistants and Temporary Licensees</w:t>
      </w:r>
      <w:r>
        <w:rPr>
          <w:sz w:val="22"/>
          <w:szCs w:val="22"/>
        </w:rPr>
        <w:t xml:space="preserve"> </w:t>
      </w:r>
    </w:p>
    <w:p w14:paraId="2EC35062" w14:textId="77777777" w:rsidR="00546242" w:rsidRDefault="00546242" w:rsidP="00546242">
      <w:pPr>
        <w:pStyle w:val="Default"/>
        <w:rPr>
          <w:sz w:val="22"/>
          <w:szCs w:val="22"/>
        </w:rPr>
      </w:pPr>
      <w:r>
        <w:rPr>
          <w:sz w:val="22"/>
          <w:szCs w:val="22"/>
        </w:rPr>
        <w:t xml:space="preserve">STATUTORY AUTHORITY: 32 M.R.S. §§ 2272(12), 2274(2) </w:t>
      </w:r>
    </w:p>
    <w:p w14:paraId="15EF812B" w14:textId="77777777" w:rsidR="00546242" w:rsidRDefault="00546242" w:rsidP="00546242">
      <w:pPr>
        <w:pStyle w:val="Default"/>
        <w:rPr>
          <w:sz w:val="22"/>
          <w:szCs w:val="22"/>
        </w:rPr>
      </w:pPr>
      <w:r>
        <w:rPr>
          <w:sz w:val="22"/>
          <w:szCs w:val="22"/>
        </w:rPr>
        <w:t xml:space="preserve">PURPOSE: The board may review and revise the permissible duties of the Occupational Therapy Assistants and the duties of Occupational Therapists in the supervision of their Assistants. </w:t>
      </w:r>
    </w:p>
    <w:p w14:paraId="203AFFA0" w14:textId="77777777" w:rsidR="00546242" w:rsidRDefault="00546242" w:rsidP="00546242">
      <w:pPr>
        <w:pStyle w:val="Default"/>
        <w:rPr>
          <w:sz w:val="22"/>
          <w:szCs w:val="22"/>
        </w:rPr>
      </w:pPr>
      <w:r>
        <w:rPr>
          <w:sz w:val="22"/>
          <w:szCs w:val="22"/>
        </w:rPr>
        <w:t xml:space="preserve">SCHEDULE FOR ADOPTION: Within one year, if necessary. </w:t>
      </w:r>
    </w:p>
    <w:p w14:paraId="126D6F06" w14:textId="00D26A79" w:rsidR="00546242" w:rsidRDefault="00546242" w:rsidP="00546242">
      <w:pPr>
        <w:pStyle w:val="Default"/>
        <w:rPr>
          <w:sz w:val="22"/>
          <w:szCs w:val="22"/>
        </w:rPr>
      </w:pPr>
      <w:r>
        <w:rPr>
          <w:sz w:val="22"/>
          <w:szCs w:val="22"/>
        </w:rPr>
        <w:t xml:space="preserve">AFFECTED PARTIES: </w:t>
      </w:r>
      <w:r w:rsidR="006B356E">
        <w:rPr>
          <w:sz w:val="22"/>
          <w:szCs w:val="22"/>
        </w:rPr>
        <w:t xml:space="preserve">Licensees. </w:t>
      </w:r>
      <w:r>
        <w:rPr>
          <w:sz w:val="22"/>
          <w:szCs w:val="22"/>
        </w:rPr>
        <w:t xml:space="preserve"> </w:t>
      </w:r>
    </w:p>
    <w:p w14:paraId="0B49011D" w14:textId="4352D444" w:rsidR="00546242" w:rsidRDefault="00546242" w:rsidP="00546242">
      <w:pPr>
        <w:pStyle w:val="Default"/>
        <w:rPr>
          <w:sz w:val="22"/>
          <w:szCs w:val="22"/>
        </w:rPr>
      </w:pPr>
      <w:r>
        <w:rPr>
          <w:sz w:val="22"/>
          <w:szCs w:val="22"/>
        </w:rPr>
        <w:t xml:space="preserve">CONSENSUS-BASED RULE DEVELOPMENT: </w:t>
      </w:r>
      <w:r w:rsidR="00EC7EB6">
        <w:rPr>
          <w:sz w:val="22"/>
          <w:szCs w:val="22"/>
        </w:rPr>
        <w:t>N/A</w:t>
      </w:r>
      <w:r>
        <w:rPr>
          <w:sz w:val="22"/>
          <w:szCs w:val="22"/>
        </w:rPr>
        <w:t xml:space="preserve"> </w:t>
      </w:r>
    </w:p>
    <w:p w14:paraId="1F73BAD8" w14:textId="77777777" w:rsidR="00546242" w:rsidRDefault="00546242" w:rsidP="00546242">
      <w:pPr>
        <w:pStyle w:val="Default"/>
        <w:rPr>
          <w:b/>
          <w:bCs/>
          <w:sz w:val="22"/>
          <w:szCs w:val="22"/>
        </w:rPr>
      </w:pPr>
    </w:p>
    <w:p w14:paraId="013D914B" w14:textId="270EFBFE" w:rsidR="00546242" w:rsidRDefault="00546242" w:rsidP="00546242">
      <w:pPr>
        <w:pStyle w:val="Default"/>
        <w:rPr>
          <w:sz w:val="22"/>
          <w:szCs w:val="22"/>
        </w:rPr>
      </w:pPr>
      <w:r>
        <w:rPr>
          <w:b/>
          <w:bCs/>
          <w:sz w:val="22"/>
          <w:szCs w:val="22"/>
        </w:rPr>
        <w:t xml:space="preserve">CHAPTER 7: </w:t>
      </w:r>
      <w:r w:rsidRPr="006B356E">
        <w:rPr>
          <w:b/>
          <w:bCs/>
          <w:sz w:val="22"/>
          <w:szCs w:val="22"/>
        </w:rPr>
        <w:t xml:space="preserve">Code of Ethics </w:t>
      </w:r>
    </w:p>
    <w:p w14:paraId="31FB9076" w14:textId="77777777" w:rsidR="00546242" w:rsidRDefault="00546242" w:rsidP="00546242">
      <w:pPr>
        <w:pStyle w:val="Default"/>
        <w:rPr>
          <w:sz w:val="22"/>
          <w:szCs w:val="22"/>
        </w:rPr>
      </w:pPr>
      <w:r>
        <w:rPr>
          <w:sz w:val="22"/>
          <w:szCs w:val="22"/>
        </w:rPr>
        <w:t xml:space="preserve">STATUTORY AUTHORITY: 32 M.R.S. §§ 2274(2), 2272(12-D) </w:t>
      </w:r>
    </w:p>
    <w:p w14:paraId="1AE1CAC6" w14:textId="77777777" w:rsidR="00546242" w:rsidRDefault="00546242" w:rsidP="00546242">
      <w:pPr>
        <w:pStyle w:val="Default"/>
        <w:rPr>
          <w:sz w:val="22"/>
          <w:szCs w:val="22"/>
        </w:rPr>
      </w:pPr>
      <w:r>
        <w:rPr>
          <w:sz w:val="22"/>
          <w:szCs w:val="22"/>
        </w:rPr>
        <w:t xml:space="preserve">PURPOSE: The board may review and revise the rules regarding the code of ethics for licensed Occupational Therapists and Occupational Therapy Assistants by adopting the Occupational Therapy Code of Ethics published by the American Occupational Therapy Association. </w:t>
      </w:r>
    </w:p>
    <w:p w14:paraId="632CCCFB" w14:textId="77777777" w:rsidR="00546242" w:rsidRDefault="00546242" w:rsidP="00546242">
      <w:pPr>
        <w:pStyle w:val="Default"/>
        <w:rPr>
          <w:sz w:val="22"/>
          <w:szCs w:val="22"/>
        </w:rPr>
      </w:pPr>
      <w:r>
        <w:rPr>
          <w:sz w:val="22"/>
          <w:szCs w:val="22"/>
        </w:rPr>
        <w:t xml:space="preserve">SCHEDULE FOR ADOPTION: Within one year, if necessary. </w:t>
      </w:r>
    </w:p>
    <w:p w14:paraId="48C0A079" w14:textId="79BF5489" w:rsidR="00546242" w:rsidRDefault="00546242" w:rsidP="00546242">
      <w:pPr>
        <w:pStyle w:val="Default"/>
        <w:rPr>
          <w:sz w:val="22"/>
          <w:szCs w:val="22"/>
        </w:rPr>
      </w:pPr>
      <w:r>
        <w:rPr>
          <w:sz w:val="22"/>
          <w:szCs w:val="22"/>
        </w:rPr>
        <w:t xml:space="preserve">AFFECTED PARTIES: </w:t>
      </w:r>
      <w:r w:rsidR="006B356E">
        <w:rPr>
          <w:sz w:val="22"/>
          <w:szCs w:val="22"/>
        </w:rPr>
        <w:t>Licensees and members of the public.</w:t>
      </w:r>
    </w:p>
    <w:p w14:paraId="20D917AD" w14:textId="06CC627D" w:rsidR="00546242" w:rsidRDefault="00546242" w:rsidP="00546242">
      <w:pPr>
        <w:pStyle w:val="Default"/>
        <w:rPr>
          <w:rFonts w:ascii="Arial" w:hAnsi="Arial" w:cs="Arial"/>
          <w:sz w:val="23"/>
          <w:szCs w:val="23"/>
        </w:rPr>
      </w:pPr>
      <w:r>
        <w:rPr>
          <w:sz w:val="22"/>
          <w:szCs w:val="22"/>
        </w:rPr>
        <w:t xml:space="preserve">CONSENSUS-BASED RULE DEVELOPMENT: </w:t>
      </w:r>
      <w:r w:rsidR="00EC7EB6">
        <w:rPr>
          <w:sz w:val="22"/>
          <w:szCs w:val="22"/>
        </w:rPr>
        <w:t>N/A</w:t>
      </w:r>
      <w:r>
        <w:rPr>
          <w:rFonts w:ascii="Arial" w:hAnsi="Arial" w:cs="Arial"/>
          <w:sz w:val="23"/>
          <w:szCs w:val="23"/>
        </w:rPr>
        <w:t xml:space="preserve"> </w:t>
      </w:r>
    </w:p>
    <w:p w14:paraId="75E0370F" w14:textId="77777777" w:rsidR="00546242" w:rsidRDefault="00546242" w:rsidP="00546242">
      <w:pPr>
        <w:pStyle w:val="Default"/>
        <w:rPr>
          <w:b/>
          <w:bCs/>
          <w:sz w:val="22"/>
          <w:szCs w:val="22"/>
        </w:rPr>
      </w:pPr>
    </w:p>
    <w:p w14:paraId="436E19E5" w14:textId="31ED40EB" w:rsidR="00546242" w:rsidRDefault="00546242" w:rsidP="00546242">
      <w:pPr>
        <w:pStyle w:val="Default"/>
        <w:rPr>
          <w:sz w:val="22"/>
          <w:szCs w:val="22"/>
        </w:rPr>
      </w:pPr>
      <w:r>
        <w:rPr>
          <w:b/>
          <w:bCs/>
          <w:sz w:val="22"/>
          <w:szCs w:val="22"/>
        </w:rPr>
        <w:t xml:space="preserve">CHAPTER 9: </w:t>
      </w:r>
      <w:r w:rsidRPr="00C85BA6">
        <w:rPr>
          <w:b/>
          <w:bCs/>
          <w:sz w:val="22"/>
          <w:szCs w:val="22"/>
        </w:rPr>
        <w:t xml:space="preserve">Professional Misconduct </w:t>
      </w:r>
    </w:p>
    <w:p w14:paraId="71E43C0E" w14:textId="77777777" w:rsidR="00546242" w:rsidRDefault="00546242" w:rsidP="00546242">
      <w:pPr>
        <w:pStyle w:val="Default"/>
        <w:rPr>
          <w:sz w:val="22"/>
          <w:szCs w:val="22"/>
        </w:rPr>
      </w:pPr>
      <w:r>
        <w:rPr>
          <w:sz w:val="22"/>
          <w:szCs w:val="22"/>
        </w:rPr>
        <w:t xml:space="preserve">STATUTORY AUTHORITY: 32 M.R.S. § 2274(2), 2286 </w:t>
      </w:r>
    </w:p>
    <w:p w14:paraId="646A4822" w14:textId="77777777" w:rsidR="00C85BA6" w:rsidRDefault="00546242" w:rsidP="00546242">
      <w:pPr>
        <w:pStyle w:val="Default"/>
        <w:rPr>
          <w:sz w:val="22"/>
          <w:szCs w:val="22"/>
        </w:rPr>
      </w:pPr>
      <w:r>
        <w:rPr>
          <w:sz w:val="22"/>
          <w:szCs w:val="22"/>
        </w:rPr>
        <w:t xml:space="preserve">PURPOSE: The board may review and revise the rules describing professional misconduct that may result in disciplinary action against a licensee, including denial or nonrenewal of a license. </w:t>
      </w:r>
    </w:p>
    <w:p w14:paraId="5BE0EB6E" w14:textId="3F8B773D" w:rsidR="00546242" w:rsidRDefault="00546242" w:rsidP="00546242">
      <w:pPr>
        <w:pStyle w:val="Default"/>
        <w:rPr>
          <w:sz w:val="22"/>
          <w:szCs w:val="22"/>
        </w:rPr>
      </w:pPr>
      <w:r>
        <w:rPr>
          <w:sz w:val="22"/>
          <w:szCs w:val="22"/>
        </w:rPr>
        <w:t xml:space="preserve">SCHEDULE FOR ADOPTION: Within one year, if necessary. </w:t>
      </w:r>
    </w:p>
    <w:p w14:paraId="5EB4CF06" w14:textId="0186257E" w:rsidR="00546242" w:rsidRDefault="00546242" w:rsidP="00546242">
      <w:pPr>
        <w:pStyle w:val="Default"/>
        <w:rPr>
          <w:sz w:val="22"/>
          <w:szCs w:val="22"/>
        </w:rPr>
      </w:pPr>
      <w:r>
        <w:rPr>
          <w:sz w:val="22"/>
          <w:szCs w:val="22"/>
        </w:rPr>
        <w:t xml:space="preserve">AFFECTED PARTIES: </w:t>
      </w:r>
      <w:r w:rsidR="006B356E">
        <w:rPr>
          <w:sz w:val="22"/>
          <w:szCs w:val="22"/>
        </w:rPr>
        <w:t>Licensees and members of the public.</w:t>
      </w:r>
    </w:p>
    <w:p w14:paraId="597700E1" w14:textId="79D79197" w:rsidR="00546242" w:rsidRDefault="00546242" w:rsidP="00546242">
      <w:pPr>
        <w:pStyle w:val="Default"/>
        <w:rPr>
          <w:sz w:val="22"/>
          <w:szCs w:val="22"/>
        </w:rPr>
      </w:pPr>
      <w:r w:rsidRPr="437D7019">
        <w:rPr>
          <w:sz w:val="22"/>
          <w:szCs w:val="22"/>
        </w:rPr>
        <w:t xml:space="preserve">CONSENSUS-BASED RULE DEVELOPMENT: </w:t>
      </w:r>
      <w:r w:rsidR="00EC7EB6" w:rsidRPr="437D7019">
        <w:rPr>
          <w:sz w:val="22"/>
          <w:szCs w:val="22"/>
        </w:rPr>
        <w:t>N/A</w:t>
      </w:r>
      <w:r w:rsidRPr="437D7019">
        <w:rPr>
          <w:sz w:val="22"/>
          <w:szCs w:val="22"/>
        </w:rPr>
        <w:t xml:space="preserve"> </w:t>
      </w:r>
    </w:p>
    <w:p w14:paraId="3B010A19" w14:textId="77777777" w:rsidR="00546242" w:rsidRDefault="00546242" w:rsidP="00546242">
      <w:pPr>
        <w:pStyle w:val="Default"/>
        <w:rPr>
          <w:b/>
          <w:bCs/>
          <w:sz w:val="22"/>
          <w:szCs w:val="22"/>
        </w:rPr>
      </w:pPr>
    </w:p>
    <w:p w14:paraId="4569A090" w14:textId="28540999" w:rsidR="00546242" w:rsidRDefault="00546242" w:rsidP="00546242">
      <w:pPr>
        <w:pStyle w:val="Default"/>
        <w:rPr>
          <w:sz w:val="22"/>
          <w:szCs w:val="22"/>
        </w:rPr>
      </w:pPr>
      <w:r w:rsidRPr="006B356E">
        <w:rPr>
          <w:b/>
          <w:bCs/>
          <w:sz w:val="22"/>
          <w:szCs w:val="22"/>
        </w:rPr>
        <w:t>CHAPTER NUMBER AND TITLE: N/A</w:t>
      </w:r>
      <w:r>
        <w:rPr>
          <w:b/>
          <w:bCs/>
          <w:sz w:val="22"/>
          <w:szCs w:val="22"/>
        </w:rPr>
        <w:t xml:space="preserve"> </w:t>
      </w:r>
    </w:p>
    <w:p w14:paraId="00419294" w14:textId="730DD662" w:rsidR="00546242" w:rsidRDefault="00546242" w:rsidP="00546242">
      <w:pPr>
        <w:pStyle w:val="Default"/>
        <w:rPr>
          <w:sz w:val="23"/>
          <w:szCs w:val="23"/>
        </w:rPr>
      </w:pPr>
      <w:r>
        <w:rPr>
          <w:sz w:val="22"/>
          <w:szCs w:val="22"/>
        </w:rPr>
        <w:t xml:space="preserve">STATUTORY BASIS: 32 M.R.S. </w:t>
      </w:r>
      <w:r>
        <w:rPr>
          <w:sz w:val="23"/>
          <w:szCs w:val="23"/>
        </w:rPr>
        <w:t xml:space="preserve">§ </w:t>
      </w:r>
      <w:r>
        <w:rPr>
          <w:sz w:val="22"/>
          <w:szCs w:val="22"/>
        </w:rPr>
        <w:t>2274(2)</w:t>
      </w:r>
      <w:r>
        <w:rPr>
          <w:sz w:val="23"/>
          <w:szCs w:val="23"/>
        </w:rPr>
        <w:t>, 2272(12</w:t>
      </w:r>
      <w:r w:rsidR="0062752F">
        <w:rPr>
          <w:sz w:val="23"/>
          <w:szCs w:val="23"/>
        </w:rPr>
        <w:t>-D</w:t>
      </w:r>
      <w:r>
        <w:rPr>
          <w:sz w:val="23"/>
          <w:szCs w:val="23"/>
        </w:rPr>
        <w:t xml:space="preserve">), </w:t>
      </w:r>
      <w:r w:rsidR="00ED4785">
        <w:rPr>
          <w:sz w:val="23"/>
          <w:szCs w:val="23"/>
        </w:rPr>
        <w:t>2276-A</w:t>
      </w:r>
    </w:p>
    <w:p w14:paraId="6EA0D835" w14:textId="77777777" w:rsidR="00546242" w:rsidRDefault="00546242" w:rsidP="00546242">
      <w:pPr>
        <w:pStyle w:val="Default"/>
        <w:rPr>
          <w:sz w:val="22"/>
          <w:szCs w:val="22"/>
        </w:rPr>
      </w:pPr>
      <w:r>
        <w:rPr>
          <w:sz w:val="22"/>
          <w:szCs w:val="22"/>
        </w:rPr>
        <w:t xml:space="preserve">PURPOSE: To adopt rules to establish standards of practice and appropriate restrictions for the various types and forms of telehealth services. </w:t>
      </w:r>
    </w:p>
    <w:p w14:paraId="2B935C0C" w14:textId="77777777" w:rsidR="00546242" w:rsidRDefault="00546242" w:rsidP="00546242">
      <w:pPr>
        <w:pStyle w:val="Default"/>
        <w:rPr>
          <w:sz w:val="22"/>
          <w:szCs w:val="22"/>
        </w:rPr>
      </w:pPr>
      <w:r>
        <w:rPr>
          <w:sz w:val="22"/>
          <w:szCs w:val="22"/>
        </w:rPr>
        <w:t xml:space="preserve">SCHEDULE FOR ADOPTION: Within the year. </w:t>
      </w:r>
    </w:p>
    <w:p w14:paraId="4F3F04B6" w14:textId="77777777" w:rsidR="00546242" w:rsidRDefault="00546242" w:rsidP="00546242">
      <w:pPr>
        <w:pStyle w:val="Default"/>
        <w:rPr>
          <w:sz w:val="22"/>
          <w:szCs w:val="22"/>
        </w:rPr>
      </w:pPr>
      <w:r>
        <w:rPr>
          <w:sz w:val="22"/>
          <w:szCs w:val="22"/>
        </w:rPr>
        <w:t xml:space="preserve">AFFECTED PARTIES: Licensees and members of the public. </w:t>
      </w:r>
    </w:p>
    <w:p w14:paraId="54027570" w14:textId="3DB923DA" w:rsidR="00546242" w:rsidRPr="00546242" w:rsidRDefault="00546242" w:rsidP="00546242">
      <w:pPr>
        <w:rPr>
          <w:rFonts w:ascii="Bookman Old Style" w:hAnsi="Bookman Old Style"/>
        </w:rPr>
      </w:pPr>
      <w:r w:rsidRPr="00546242">
        <w:rPr>
          <w:rFonts w:ascii="Bookman Old Style" w:hAnsi="Bookman Old Style"/>
        </w:rPr>
        <w:lastRenderedPageBreak/>
        <w:t xml:space="preserve">CONSENSUS-BASED RULE DEVELOPMENT: </w:t>
      </w:r>
      <w:r w:rsidR="00EC7EB6">
        <w:rPr>
          <w:rFonts w:ascii="Bookman Old Style" w:hAnsi="Bookman Old Style"/>
        </w:rPr>
        <w:t>N/A</w:t>
      </w:r>
    </w:p>
    <w:sectPr w:rsidR="00546242" w:rsidRPr="00546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yNDMytDA3MDQ0MjdS0lEKTi0uzszPAykwqgUAVknaCCwAAAA="/>
  </w:docVars>
  <w:rsids>
    <w:rsidRoot w:val="00546242"/>
    <w:rsid w:val="00011C07"/>
    <w:rsid w:val="000515E1"/>
    <w:rsid w:val="00070564"/>
    <w:rsid w:val="0009119C"/>
    <w:rsid w:val="000D5BD3"/>
    <w:rsid w:val="00112256"/>
    <w:rsid w:val="00131DD0"/>
    <w:rsid w:val="00135A17"/>
    <w:rsid w:val="0018159D"/>
    <w:rsid w:val="00196CC4"/>
    <w:rsid w:val="001B58A9"/>
    <w:rsid w:val="00200E9D"/>
    <w:rsid w:val="00273DC5"/>
    <w:rsid w:val="002762E4"/>
    <w:rsid w:val="002A6BC5"/>
    <w:rsid w:val="002C2F71"/>
    <w:rsid w:val="002D2952"/>
    <w:rsid w:val="00304275"/>
    <w:rsid w:val="00333331"/>
    <w:rsid w:val="00337964"/>
    <w:rsid w:val="0034273E"/>
    <w:rsid w:val="003A217D"/>
    <w:rsid w:val="003A44F1"/>
    <w:rsid w:val="003C5758"/>
    <w:rsid w:val="004652E5"/>
    <w:rsid w:val="004B472F"/>
    <w:rsid w:val="004C4300"/>
    <w:rsid w:val="004D736A"/>
    <w:rsid w:val="00546242"/>
    <w:rsid w:val="00594243"/>
    <w:rsid w:val="005E122C"/>
    <w:rsid w:val="005F6B2E"/>
    <w:rsid w:val="0062752F"/>
    <w:rsid w:val="00657EFD"/>
    <w:rsid w:val="006658AF"/>
    <w:rsid w:val="00670825"/>
    <w:rsid w:val="00680FEE"/>
    <w:rsid w:val="00697E75"/>
    <w:rsid w:val="006A52AD"/>
    <w:rsid w:val="006B356E"/>
    <w:rsid w:val="00710B69"/>
    <w:rsid w:val="00714FD3"/>
    <w:rsid w:val="00730253"/>
    <w:rsid w:val="00733E9B"/>
    <w:rsid w:val="00742A27"/>
    <w:rsid w:val="007B2779"/>
    <w:rsid w:val="007E2DB0"/>
    <w:rsid w:val="007E5035"/>
    <w:rsid w:val="00825C54"/>
    <w:rsid w:val="00833D43"/>
    <w:rsid w:val="00863A14"/>
    <w:rsid w:val="008758C7"/>
    <w:rsid w:val="00876EF3"/>
    <w:rsid w:val="00920B0A"/>
    <w:rsid w:val="00925044"/>
    <w:rsid w:val="00935466"/>
    <w:rsid w:val="00A02B68"/>
    <w:rsid w:val="00A142FB"/>
    <w:rsid w:val="00A40C81"/>
    <w:rsid w:val="00A52D9A"/>
    <w:rsid w:val="00A6715B"/>
    <w:rsid w:val="00A850C6"/>
    <w:rsid w:val="00AA2670"/>
    <w:rsid w:val="00AB3177"/>
    <w:rsid w:val="00AE218E"/>
    <w:rsid w:val="00B2061E"/>
    <w:rsid w:val="00B37D92"/>
    <w:rsid w:val="00B55A6B"/>
    <w:rsid w:val="00B802B4"/>
    <w:rsid w:val="00B8490D"/>
    <w:rsid w:val="00B94FAC"/>
    <w:rsid w:val="00BB54FF"/>
    <w:rsid w:val="00BB7AFE"/>
    <w:rsid w:val="00BD1465"/>
    <w:rsid w:val="00C61B50"/>
    <w:rsid w:val="00C85BA6"/>
    <w:rsid w:val="00CC4F0E"/>
    <w:rsid w:val="00CE0702"/>
    <w:rsid w:val="00CE2021"/>
    <w:rsid w:val="00CE3819"/>
    <w:rsid w:val="00D055DE"/>
    <w:rsid w:val="00D22F69"/>
    <w:rsid w:val="00D33324"/>
    <w:rsid w:val="00D55BB5"/>
    <w:rsid w:val="00D55FDD"/>
    <w:rsid w:val="00D653B8"/>
    <w:rsid w:val="00D71671"/>
    <w:rsid w:val="00DA7FAB"/>
    <w:rsid w:val="00DE6C49"/>
    <w:rsid w:val="00E6636D"/>
    <w:rsid w:val="00E92D90"/>
    <w:rsid w:val="00E94468"/>
    <w:rsid w:val="00EB252D"/>
    <w:rsid w:val="00EB452D"/>
    <w:rsid w:val="00EC7EB6"/>
    <w:rsid w:val="00ED4785"/>
    <w:rsid w:val="00EF117E"/>
    <w:rsid w:val="00EF4B9C"/>
    <w:rsid w:val="00F025D2"/>
    <w:rsid w:val="00F42D13"/>
    <w:rsid w:val="00F46830"/>
    <w:rsid w:val="00F47850"/>
    <w:rsid w:val="00FF152E"/>
    <w:rsid w:val="01D2396D"/>
    <w:rsid w:val="098515C2"/>
    <w:rsid w:val="0CA90AC7"/>
    <w:rsid w:val="0EFA7457"/>
    <w:rsid w:val="12A55BF2"/>
    <w:rsid w:val="13E08ACA"/>
    <w:rsid w:val="17968284"/>
    <w:rsid w:val="1C4DED57"/>
    <w:rsid w:val="265ECEDB"/>
    <w:rsid w:val="276D6C7E"/>
    <w:rsid w:val="2CCAD1CF"/>
    <w:rsid w:val="33BE248C"/>
    <w:rsid w:val="390215D7"/>
    <w:rsid w:val="3F7C7FBF"/>
    <w:rsid w:val="428F2423"/>
    <w:rsid w:val="42A7F1C4"/>
    <w:rsid w:val="42CBCCA9"/>
    <w:rsid w:val="437C4854"/>
    <w:rsid w:val="437D7019"/>
    <w:rsid w:val="44543B60"/>
    <w:rsid w:val="44825530"/>
    <w:rsid w:val="451F2F6E"/>
    <w:rsid w:val="46C1DEB3"/>
    <w:rsid w:val="5F21F2AC"/>
    <w:rsid w:val="715E5CDA"/>
    <w:rsid w:val="773E71F1"/>
    <w:rsid w:val="7AB2D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30FCD"/>
  <w15:chartTrackingRefBased/>
  <w15:docId w15:val="{8C2C41F3-2BE7-4D6D-B835-33B3B6FA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6242"/>
    <w:pPr>
      <w:autoSpaceDE w:val="0"/>
      <w:autoSpaceDN w:val="0"/>
      <w:adjustRightInd w:val="0"/>
      <w:spacing w:after="0" w:line="240" w:lineRule="auto"/>
    </w:pPr>
    <w:rPr>
      <w:rFonts w:ascii="Bookman Old Style" w:hAnsi="Bookman Old Style" w:cs="Bookman Old Style"/>
      <w:color w:val="000000"/>
      <w:sz w:val="24"/>
      <w:szCs w:val="24"/>
    </w:rPr>
  </w:style>
  <w:style w:type="character" w:styleId="CommentReference">
    <w:name w:val="annotation reference"/>
    <w:basedOn w:val="DefaultParagraphFont"/>
    <w:uiPriority w:val="99"/>
    <w:semiHidden/>
    <w:unhideWhenUsed/>
    <w:rsid w:val="00546242"/>
    <w:rPr>
      <w:sz w:val="16"/>
      <w:szCs w:val="16"/>
    </w:rPr>
  </w:style>
  <w:style w:type="paragraph" w:styleId="CommentText">
    <w:name w:val="annotation text"/>
    <w:basedOn w:val="Normal"/>
    <w:link w:val="CommentTextChar"/>
    <w:uiPriority w:val="99"/>
    <w:semiHidden/>
    <w:unhideWhenUsed/>
    <w:rsid w:val="00546242"/>
    <w:pPr>
      <w:spacing w:line="240" w:lineRule="auto"/>
    </w:pPr>
    <w:rPr>
      <w:sz w:val="20"/>
      <w:szCs w:val="20"/>
    </w:rPr>
  </w:style>
  <w:style w:type="character" w:customStyle="1" w:styleId="CommentTextChar">
    <w:name w:val="Comment Text Char"/>
    <w:basedOn w:val="DefaultParagraphFont"/>
    <w:link w:val="CommentText"/>
    <w:uiPriority w:val="99"/>
    <w:semiHidden/>
    <w:rsid w:val="00546242"/>
    <w:rPr>
      <w:sz w:val="20"/>
      <w:szCs w:val="20"/>
    </w:rPr>
  </w:style>
  <w:style w:type="paragraph" w:styleId="CommentSubject">
    <w:name w:val="annotation subject"/>
    <w:basedOn w:val="CommentText"/>
    <w:next w:val="CommentText"/>
    <w:link w:val="CommentSubjectChar"/>
    <w:uiPriority w:val="99"/>
    <w:semiHidden/>
    <w:unhideWhenUsed/>
    <w:rsid w:val="00546242"/>
    <w:rPr>
      <w:b/>
      <w:bCs/>
    </w:rPr>
  </w:style>
  <w:style w:type="character" w:customStyle="1" w:styleId="CommentSubjectChar">
    <w:name w:val="Comment Subject Char"/>
    <w:basedOn w:val="CommentTextChar"/>
    <w:link w:val="CommentSubject"/>
    <w:uiPriority w:val="99"/>
    <w:semiHidden/>
    <w:rsid w:val="00546242"/>
    <w:rPr>
      <w:b/>
      <w:bCs/>
      <w:sz w:val="20"/>
      <w:szCs w:val="20"/>
    </w:rPr>
  </w:style>
  <w:style w:type="character" w:customStyle="1" w:styleId="normaltextrun">
    <w:name w:val="normaltextrun"/>
    <w:basedOn w:val="DefaultParagraphFont"/>
    <w:rsid w:val="0009119C"/>
  </w:style>
  <w:style w:type="character" w:customStyle="1" w:styleId="spellingerror">
    <w:name w:val="spellingerror"/>
    <w:basedOn w:val="DefaultParagraphFont"/>
    <w:rsid w:val="0009119C"/>
  </w:style>
  <w:style w:type="character" w:customStyle="1" w:styleId="eop">
    <w:name w:val="eop"/>
    <w:basedOn w:val="DefaultParagraphFont"/>
    <w:rsid w:val="0009119C"/>
  </w:style>
  <w:style w:type="character" w:styleId="Hyperlink">
    <w:name w:val="Hyperlink"/>
    <w:basedOn w:val="DefaultParagraphFont"/>
    <w:uiPriority w:val="99"/>
    <w:unhideWhenUsed/>
    <w:rsid w:val="00920B0A"/>
    <w:rPr>
      <w:color w:val="0563C1" w:themeColor="hyperlink"/>
      <w:u w:val="single"/>
    </w:rPr>
  </w:style>
  <w:style w:type="character" w:styleId="UnresolvedMention">
    <w:name w:val="Unresolved Mention"/>
    <w:basedOn w:val="DefaultParagraphFont"/>
    <w:uiPriority w:val="99"/>
    <w:semiHidden/>
    <w:unhideWhenUsed/>
    <w:rsid w:val="00920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vaillancourt@maine.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2F5834-432E-46A6-80FC-B73312BD1540}">
  <ds:schemaRefs>
    <ds:schemaRef ds:uri="http://schemas.microsoft.com/sharepoint/v3/contenttype/forms"/>
  </ds:schemaRefs>
</ds:datastoreItem>
</file>

<file path=customXml/itemProps2.xml><?xml version="1.0" encoding="utf-8"?>
<ds:datastoreItem xmlns:ds="http://schemas.openxmlformats.org/officeDocument/2006/customXml" ds:itemID="{D08CC735-7C2A-42C6-97D7-3F49BCBB223E}">
  <ds:schemaRefs>
    <ds:schemaRef ds:uri="http://schemas.openxmlformats.org/officeDocument/2006/bibliography"/>
  </ds:schemaRefs>
</ds:datastoreItem>
</file>

<file path=customXml/itemProps3.xml><?xml version="1.0" encoding="utf-8"?>
<ds:datastoreItem xmlns:ds="http://schemas.openxmlformats.org/officeDocument/2006/customXml" ds:itemID="{AFE89994-0633-47F0-B649-5E17B3047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86914-0A1F-4968-B7B0-95AD89704374}">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Candice B</dc:creator>
  <cp:keywords/>
  <dc:description/>
  <cp:lastModifiedBy>Vaillancourt, Penny</cp:lastModifiedBy>
  <cp:revision>28</cp:revision>
  <dcterms:created xsi:type="dcterms:W3CDTF">2024-06-24T20:33:00Z</dcterms:created>
  <dcterms:modified xsi:type="dcterms:W3CDTF">2025-06-28T21:54:00Z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y fmtid="{D5CDD505-2E9C-101B-9397-08002B2CF9AE}" pid="4" name="GrammarlyDocumentId">
    <vt:lpwstr>8d38258fff841ce6613c33dd1b95ecae28a662d875b46dd095d67b6e5cf1a888</vt:lpwstr>
  </property>
</Properties>
</file>